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18,3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87733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1040,0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  <w:r>
              <w:rPr>
                <w:rStyle w:val="211pt"/>
              </w:rPr>
              <w:t>1,3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2,8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7,8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1056A5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0,37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1056A5">
        <w:rPr>
          <w:color w:val="000000"/>
          <w:lang w:eastAsia="ru-RU" w:bidi="ru-RU"/>
        </w:rPr>
        <w:t>п.Новоракитка</w:t>
      </w:r>
      <w:proofErr w:type="spellEnd"/>
      <w:r w:rsidR="0096512E">
        <w:rPr>
          <w:color w:val="000000"/>
          <w:lang w:eastAsia="ru-RU" w:bidi="ru-RU"/>
        </w:rPr>
        <w:t>, скважина ул.</w:t>
      </w:r>
      <w:r w:rsidR="001056A5">
        <w:rPr>
          <w:color w:val="000000"/>
          <w:lang w:eastAsia="ru-RU" w:bidi="ru-RU"/>
        </w:rPr>
        <w:t>Луговая,7</w:t>
      </w:r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lastRenderedPageBreak/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1056A5"/>
    <w:rsid w:val="004A75BA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1618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15</cp:revision>
  <dcterms:created xsi:type="dcterms:W3CDTF">2021-03-19T03:44:00Z</dcterms:created>
  <dcterms:modified xsi:type="dcterms:W3CDTF">2021-03-22T09:40:00Z</dcterms:modified>
</cp:coreProperties>
</file>